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6379"/>
      </w:tblGrid>
      <w:tr w:rsidR="00895991" w:rsidRPr="002C5037" w:rsidTr="00D212EE">
        <w:trPr>
          <w:trHeight w:val="1160"/>
        </w:trPr>
        <w:tc>
          <w:tcPr>
            <w:tcW w:w="4361" w:type="dxa"/>
            <w:tcBorders>
              <w:top w:val="nil"/>
              <w:left w:val="nil"/>
              <w:bottom w:val="nil"/>
              <w:right w:val="nil"/>
            </w:tcBorders>
          </w:tcPr>
          <w:p w:rsidR="00895991" w:rsidRPr="002C5037" w:rsidRDefault="00F05640" w:rsidP="00D212EE">
            <w:pPr>
              <w:spacing w:after="0" w:line="240" w:lineRule="auto"/>
              <w:rPr>
                <w:b/>
                <w:sz w:val="28"/>
                <w:szCs w:val="28"/>
              </w:rPr>
            </w:pPr>
            <w:r>
              <w:rPr>
                <w:sz w:val="28"/>
                <w:szCs w:val="28"/>
              </w:rPr>
              <w:t xml:space="preserve">    UBND XÃ HẢI</w:t>
            </w:r>
            <w:r w:rsidR="00895991" w:rsidRPr="002C5037">
              <w:rPr>
                <w:sz w:val="28"/>
                <w:szCs w:val="28"/>
              </w:rPr>
              <w:t xml:space="preserve"> CHÂU</w:t>
            </w:r>
            <w:r w:rsidR="00895991" w:rsidRPr="002C5037">
              <w:rPr>
                <w:b/>
                <w:sz w:val="28"/>
                <w:szCs w:val="28"/>
              </w:rPr>
              <w:t xml:space="preserve">        TRƯỜNG MN DIỄN HÙNG</w:t>
            </w:r>
          </w:p>
          <w:p w:rsidR="00895991" w:rsidRPr="002C5037" w:rsidRDefault="00895991" w:rsidP="00D212EE">
            <w:pPr>
              <w:spacing w:after="0" w:line="240" w:lineRule="auto"/>
              <w:rPr>
                <w:sz w:val="28"/>
                <w:szCs w:val="28"/>
              </w:rPr>
            </w:pPr>
            <w:r w:rsidRPr="002C5037">
              <w:rPr>
                <w:b/>
                <w:noProof/>
                <w:sz w:val="28"/>
                <w:szCs w:val="28"/>
                <w:lang w:val="en-SG" w:eastAsia="en-SG"/>
              </w:rPr>
              <mc:AlternateContent>
                <mc:Choice Requires="wps">
                  <w:drawing>
                    <wp:anchor distT="0" distB="0" distL="114300" distR="114300" simplePos="0" relativeHeight="251659264" behindDoc="0" locked="0" layoutInCell="1" allowOverlap="1" wp14:anchorId="7732A37B" wp14:editId="6CB68A3C">
                      <wp:simplePos x="0" y="0"/>
                      <wp:positionH relativeFrom="column">
                        <wp:posOffset>799465</wp:posOffset>
                      </wp:positionH>
                      <wp:positionV relativeFrom="paragraph">
                        <wp:posOffset>10160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w14:anchorId="5F55F4F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95pt,.8pt" to="1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"/>
                  </w:pict>
                </mc:Fallback>
              </mc:AlternateContent>
            </w:r>
          </w:p>
          <w:p w:rsidR="00895991" w:rsidRPr="002C5037" w:rsidRDefault="00895991" w:rsidP="00D212EE">
            <w:pPr>
              <w:spacing w:after="0" w:line="240" w:lineRule="auto"/>
              <w:jc w:val="center"/>
              <w:rPr>
                <w:sz w:val="28"/>
                <w:szCs w:val="28"/>
              </w:rPr>
            </w:pPr>
            <w:r w:rsidRPr="002C5037">
              <w:rPr>
                <w:sz w:val="28"/>
                <w:szCs w:val="28"/>
              </w:rPr>
              <w:t>Số:</w:t>
            </w:r>
            <w:r w:rsidR="00E83804">
              <w:rPr>
                <w:sz w:val="28"/>
                <w:szCs w:val="28"/>
              </w:rPr>
              <w:t xml:space="preserve"> </w:t>
            </w:r>
            <w:r w:rsidR="00E83804" w:rsidRPr="00E83804">
              <w:rPr>
                <w:i/>
                <w:sz w:val="28"/>
                <w:szCs w:val="28"/>
              </w:rPr>
              <w:t>1</w:t>
            </w:r>
            <w:r w:rsidR="00910EDF">
              <w:rPr>
                <w:i/>
                <w:sz w:val="28"/>
                <w:szCs w:val="28"/>
              </w:rPr>
              <w:t>06</w:t>
            </w:r>
            <w:r w:rsidRPr="002C5037">
              <w:rPr>
                <w:sz w:val="28"/>
                <w:szCs w:val="28"/>
              </w:rPr>
              <w:t>/KH-MND</w:t>
            </w:r>
            <w:r>
              <w:rPr>
                <w:sz w:val="28"/>
                <w:szCs w:val="28"/>
              </w:rPr>
              <w:t>H</w:t>
            </w:r>
          </w:p>
        </w:tc>
        <w:tc>
          <w:tcPr>
            <w:tcW w:w="6379" w:type="dxa"/>
            <w:tcBorders>
              <w:top w:val="nil"/>
              <w:left w:val="nil"/>
              <w:bottom w:val="nil"/>
              <w:right w:val="nil"/>
            </w:tcBorders>
          </w:tcPr>
          <w:p w:rsidR="00895991" w:rsidRPr="002C5037" w:rsidRDefault="00895991" w:rsidP="00D212EE">
            <w:pPr>
              <w:spacing w:after="0" w:line="240" w:lineRule="auto"/>
              <w:rPr>
                <w:b/>
                <w:sz w:val="28"/>
                <w:szCs w:val="28"/>
              </w:rPr>
            </w:pPr>
            <w:r w:rsidRPr="002C5037">
              <w:rPr>
                <w:b/>
                <w:sz w:val="28"/>
                <w:szCs w:val="28"/>
              </w:rPr>
              <w:t>CỘNG HÒA XÃ HỘI CHỦ NGHĨA VIỆT NAM</w:t>
            </w:r>
          </w:p>
          <w:p w:rsidR="00895991" w:rsidRPr="002C5037" w:rsidRDefault="00895991" w:rsidP="00D212EE">
            <w:pPr>
              <w:spacing w:after="0" w:line="240" w:lineRule="auto"/>
              <w:rPr>
                <w:b/>
                <w:sz w:val="28"/>
                <w:szCs w:val="28"/>
              </w:rPr>
            </w:pPr>
            <w:r w:rsidRPr="002C5037">
              <w:rPr>
                <w:b/>
                <w:sz w:val="28"/>
                <w:szCs w:val="28"/>
              </w:rPr>
              <w:t xml:space="preserve">                 Độc lập - Tự do - Hạnh phúc</w:t>
            </w:r>
          </w:p>
          <w:p w:rsidR="00895991" w:rsidRPr="002C5037" w:rsidRDefault="00895991" w:rsidP="00D212EE">
            <w:pPr>
              <w:spacing w:after="0" w:line="240" w:lineRule="auto"/>
              <w:rPr>
                <w:sz w:val="28"/>
                <w:szCs w:val="28"/>
              </w:rPr>
            </w:pPr>
            <w:r w:rsidRPr="002C5037">
              <w:rPr>
                <w:noProof/>
                <w:sz w:val="28"/>
                <w:szCs w:val="28"/>
                <w:lang w:val="en-SG" w:eastAsia="en-SG"/>
              </w:rPr>
              <mc:AlternateContent>
                <mc:Choice Requires="wps">
                  <w:drawing>
                    <wp:anchor distT="0" distB="0" distL="114300" distR="114300" simplePos="0" relativeHeight="251660288" behindDoc="0" locked="0" layoutInCell="1" allowOverlap="1" wp14:anchorId="31E21702" wp14:editId="49998144">
                      <wp:simplePos x="0" y="0"/>
                      <wp:positionH relativeFrom="column">
                        <wp:posOffset>1012190</wp:posOffset>
                      </wp:positionH>
                      <wp:positionV relativeFrom="paragraph">
                        <wp:posOffset>3810</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w:pict>
                    <v:line w14:anchorId="37630DE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7pt,.3pt" to="18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"/>
                  </w:pict>
                </mc:Fallback>
              </mc:AlternateContent>
            </w:r>
          </w:p>
          <w:p w:rsidR="00895991" w:rsidRPr="002C5037" w:rsidRDefault="00895991" w:rsidP="00D212EE">
            <w:pPr>
              <w:spacing w:after="0" w:line="240" w:lineRule="auto"/>
              <w:rPr>
                <w:i/>
                <w:sz w:val="28"/>
                <w:szCs w:val="28"/>
              </w:rPr>
            </w:pPr>
            <w:r w:rsidRPr="002C5037">
              <w:rPr>
                <w:i/>
                <w:sz w:val="28"/>
                <w:szCs w:val="28"/>
              </w:rPr>
              <w:t xml:space="preserve">                </w:t>
            </w:r>
            <w:r w:rsidR="00A86931">
              <w:rPr>
                <w:i/>
                <w:sz w:val="28"/>
                <w:szCs w:val="28"/>
              </w:rPr>
              <w:t>Hải Châu</w:t>
            </w:r>
            <w:r w:rsidRPr="002C5037">
              <w:rPr>
                <w:i/>
                <w:sz w:val="28"/>
                <w:szCs w:val="28"/>
              </w:rPr>
              <w:t xml:space="preserve">, ngày </w:t>
            </w:r>
            <w:r w:rsidR="00910EDF">
              <w:rPr>
                <w:i/>
                <w:sz w:val="28"/>
                <w:szCs w:val="28"/>
              </w:rPr>
              <w:t xml:space="preserve">05 </w:t>
            </w:r>
            <w:r w:rsidRPr="002C5037">
              <w:rPr>
                <w:i/>
                <w:sz w:val="28"/>
                <w:szCs w:val="28"/>
              </w:rPr>
              <w:t xml:space="preserve">tháng </w:t>
            </w:r>
            <w:r w:rsidR="00910EDF">
              <w:rPr>
                <w:i/>
                <w:sz w:val="28"/>
                <w:szCs w:val="28"/>
              </w:rPr>
              <w:t>9</w:t>
            </w:r>
            <w:bookmarkStart w:id="0" w:name="_GoBack"/>
            <w:bookmarkEnd w:id="0"/>
            <w:r w:rsidRPr="002C5037">
              <w:rPr>
                <w:i/>
                <w:sz w:val="28"/>
                <w:szCs w:val="28"/>
              </w:rPr>
              <w:t xml:space="preserve"> năm  202</w:t>
            </w:r>
            <w:r>
              <w:rPr>
                <w:i/>
                <w:sz w:val="28"/>
                <w:szCs w:val="28"/>
              </w:rPr>
              <w:t>5</w:t>
            </w:r>
          </w:p>
        </w:tc>
      </w:tr>
    </w:tbl>
    <w:p w:rsidR="00895991" w:rsidRPr="002C5037" w:rsidRDefault="00895991" w:rsidP="00895991">
      <w:pPr>
        <w:spacing w:after="0" w:line="240" w:lineRule="auto"/>
        <w:ind w:firstLine="720"/>
        <w:jc w:val="center"/>
        <w:textAlignment w:val="baseline"/>
        <w:rPr>
          <w:rFonts w:eastAsia="Times New Roman"/>
          <w:sz w:val="28"/>
          <w:szCs w:val="28"/>
        </w:rPr>
      </w:pPr>
    </w:p>
    <w:p w:rsidR="007F73CE" w:rsidRDefault="00895991" w:rsidP="00F05640">
      <w:pPr>
        <w:spacing w:after="0" w:line="360" w:lineRule="exact"/>
        <w:ind w:firstLine="720"/>
        <w:textAlignment w:val="baseline"/>
      </w:pPr>
      <w:r w:rsidRPr="002C5037">
        <w:rPr>
          <w:b/>
          <w:sz w:val="28"/>
          <w:szCs w:val="28"/>
        </w:rPr>
        <w:t xml:space="preserve">                                                            </w:t>
      </w:r>
    </w:p>
    <w:p w:rsidR="00895991" w:rsidRDefault="00A86931" w:rsidP="00895991">
      <w:pPr>
        <w:spacing w:after="0"/>
        <w:jc w:val="center"/>
      </w:pPr>
      <w:r>
        <w:rPr>
          <w:b/>
          <w:sz w:val="28"/>
        </w:rPr>
        <w:t>KẾ HOẠCH DÀI HẠN</w:t>
      </w:r>
      <w:r>
        <w:rPr>
          <w:b/>
          <w:sz w:val="28"/>
        </w:rPr>
        <w:br/>
        <w:t>BỒI DƯỠNG NÂNG CAO NĂNG LỰC VÀ PHÁT TRIỂN ĐỘI NGŨ</w:t>
      </w:r>
      <w:r>
        <w:rPr>
          <w:b/>
          <w:sz w:val="28"/>
        </w:rPr>
        <w:br/>
        <w:t>GIAI ĐOẠN 2025–2030</w:t>
      </w:r>
      <w:r>
        <w:rPr>
          <w:b/>
          <w:sz w:val="28"/>
        </w:rPr>
        <w:br/>
      </w:r>
    </w:p>
    <w:p w:rsidR="007F73CE" w:rsidRDefault="007F73CE" w:rsidP="00895991">
      <w:pPr>
        <w:spacing w:after="0"/>
      </w:pPr>
    </w:p>
    <w:p w:rsidR="007F73CE" w:rsidRDefault="00A86931" w:rsidP="00895991">
      <w:pPr>
        <w:spacing w:after="0"/>
      </w:pPr>
      <w:r>
        <w:rPr>
          <w:b/>
        </w:rPr>
        <w:t>I. Căn cứ xây dựng kế hoạch</w:t>
      </w:r>
    </w:p>
    <w:p w:rsidR="007F73CE" w:rsidRDefault="00A86931" w:rsidP="00895991">
      <w:pPr>
        <w:spacing w:after="0"/>
      </w:pPr>
      <w:r>
        <w:t>1. Phương hướng chiến lược phát triển Trường Mầm non Diễn Hùng giai đoạn 2025–2030.</w:t>
      </w:r>
      <w:r>
        <w:br/>
        <w:t>2. Các chủ trương, định hướng phát triển giáo dục của Bộ Giáo dục và Đào tạo và Phòng GD&amp;ĐT; các văn bản hướng dẫn về chương trình Giáo dục mầm non, chuẩn nghề nghiệp, bồi dưỡng thường xuyên và chuyển đổi số trong giáo dục.</w:t>
      </w:r>
      <w:r>
        <w:br/>
        <w:t>3. Thực trạng đội ngũ cán bộ, giáo viên, nhân viên và yêu cầu đổi mới chương trình, nâng cao chất lượng chăm sóc – giáo dục trẻ tại nhà trường.</w:t>
      </w:r>
      <w:r>
        <w:br/>
        <w:t>4. Nhu cầu thực tế về đào tạo, bồi dưỡng nâng cao năng lực ứng dụng CNTT, AI, giáo dục hoà nhập, phương pháp giáo dục tiên tiến (Montessori, Units, STEAM…) nhằm đáp ứng mục tiêu phát triển trường đạt chuẩn quốc gia mức độ 2.</w:t>
      </w:r>
    </w:p>
    <w:p w:rsidR="007F73CE" w:rsidRDefault="00A86931" w:rsidP="00895991">
      <w:pPr>
        <w:spacing w:after="0"/>
      </w:pPr>
      <w:r>
        <w:rPr>
          <w:b/>
        </w:rPr>
        <w:t>II. Mục tiêu</w:t>
      </w:r>
    </w:p>
    <w:p w:rsidR="007F73CE" w:rsidRDefault="00A86931" w:rsidP="00895991">
      <w:pPr>
        <w:spacing w:after="0"/>
      </w:pPr>
      <w:r>
        <w:t>1. Mục tiêu tổng quát:</w:t>
      </w:r>
    </w:p>
    <w:p w:rsidR="007F73CE" w:rsidRDefault="00A86931" w:rsidP="00895991">
      <w:pPr>
        <w:spacing w:after="0"/>
      </w:pPr>
      <w:r>
        <w:t>- Xây dựng đội ngũ cán bộ, giáo viên, nhân viên có phẩm chất, năng lực nghề nghiệp, đáp ứng yêu cầu đổi mới giáo dục mầm non trong kỷ nguyên chuyển đổi số.</w:t>
      </w:r>
      <w:r>
        <w:br/>
        <w:t>- Nâng cao năng lực ứng dụng công nghệ thông tin, trí tuệ nhân tạo, phương pháp giáo dục tiên tiến; phát triển hoạt động chăm sóc, giáo dục toàn diện, đảm bảo giáo dục hoà nhập và an toàn cho trẻ.</w:t>
      </w:r>
      <w:r>
        <w:br/>
        <w:t>- Hướng tới mục tiêu Trường Mầm non Diễn Hùng đạt chuẩn quốc gia mức độ 2 vào năm 2029.</w:t>
      </w:r>
    </w:p>
    <w:p w:rsidR="007F73CE" w:rsidRDefault="00A86931" w:rsidP="00895991">
      <w:pPr>
        <w:spacing w:after="0"/>
      </w:pPr>
      <w:r>
        <w:t>2. Mục tiêu cụ thể (chỉ tiêu định lượng):</w:t>
      </w:r>
    </w:p>
    <w:p w:rsidR="007F73CE" w:rsidRDefault="00A86931" w:rsidP="00895991">
      <w:pPr>
        <w:spacing w:after="0"/>
      </w:pPr>
      <w:r>
        <w:t>- 100% CB-GV-NV tham gia ít nhất 1 hình thức bồi dưỡng bắt buộc hàng năm (tập huấn, chuyên đề, sinh hoạt chuyên môn, tự học có minh chứng).</w:t>
      </w:r>
      <w:r>
        <w:br/>
        <w:t>- 100% giáo viên thành thạo sử dụng các công cụ CNTT cơ bản (GG Drive, LMS đơn giản, soạn bài số) và ít nhất 60% sử dụng công cụ hỗ trợ (AI, phần mềm tạo bài giảng) trong giảng dạy.</w:t>
      </w:r>
      <w:r>
        <w:br/>
      </w:r>
      <w:r>
        <w:lastRenderedPageBreak/>
        <w:t>- Ít nhất 80% giáo viên áp dụng thành thạo phương pháp Montessori, Trò chuyện sáng (Units) hoặc các phương pháp giáo dục tiên tiến phù hợp với lứa tuổi.</w:t>
      </w:r>
      <w:r>
        <w:br/>
        <w:t>- Tổ chức tối thiểu 3 chuyên đề trọng tâm mỗi năm học; lưu giữ minh chứng (hồ sơ, ảnh, video, sản phẩm học liệu số).</w:t>
      </w:r>
      <w:r>
        <w:br/>
        <w:t>- Hoàn thành các tiêu chí về đội ngũ, chương trình, cơ sở vật chất để trình hồ sơ thẩm định Trường chuẩn quốc gia mức độ 2 năm 2029.</w:t>
      </w:r>
    </w:p>
    <w:p w:rsidR="007F73CE" w:rsidRDefault="00A86931" w:rsidP="00895991">
      <w:pPr>
        <w:spacing w:after="0"/>
      </w:pPr>
      <w:r>
        <w:rPr>
          <w:b/>
        </w:rPr>
        <w:t>III. Nội dung bồi dưỡng trọng tâm (chi tiết theo chuyên đề)</w:t>
      </w:r>
    </w:p>
    <w:p w:rsidR="007F73CE" w:rsidRDefault="00A86931" w:rsidP="00895991">
      <w:pPr>
        <w:spacing w:after="0"/>
      </w:pPr>
      <w:r>
        <w:t>1. Chuyển đổi số, ứng dụng CNTT và AI trong quản lý, giảng dạy:</w:t>
      </w:r>
      <w:r>
        <w:br/>
        <w:t>- Sử dụng phần mềm quản lý, lưu trữ hồ sơ điện tử, xây dựng ngân hàng học liệu số.</w:t>
      </w:r>
      <w:r>
        <w:br/>
        <w:t>- Ứng dụng AI hỗ trợ soạn bài, thiết kế hoạt động, tạo video ngắn dạy học và đánh giá tiến trình trẻ.</w:t>
      </w:r>
      <w:r>
        <w:br/>
        <w:t>2. Ứng dụng phương pháp giáo dục tiên tiến (Montessori, Reggio Emilia, STEAM, trải nghiệm):</w:t>
      </w:r>
      <w:r>
        <w:br/>
        <w:t>- Triết lý, nguyên tắc Montessori; thiết kế môi trường, góc hoạt động; tài liệu, đồ dùng phù hợp.</w:t>
      </w:r>
      <w:r>
        <w:br/>
        <w:t>- Tích hợp STEAM và trải nghiệm vào các chủ đề hàng tháng.</w:t>
      </w:r>
      <w:r>
        <w:br/>
        <w:t>3. Phương pháp “Trò chuyện sáng” (Units):</w:t>
      </w:r>
      <w:r>
        <w:br/>
        <w:t>- Quy trình tổ chức, lựa chọn chủ đề, xây dựng câu hỏi mở, kỹ thuật tương tác và theo dõi phát triển ngôn ngữ cho trẻ.</w:t>
      </w:r>
      <w:r>
        <w:br/>
        <w:t>4. Đổi mới hình thức tổ chức hoạt động, hoạt động giữa giờ và trải nghiệm:</w:t>
      </w:r>
      <w:r>
        <w:br/>
        <w:t>- Tổ chức hoạt động vận động, trò chơi học tập, hoạt động ngoài lớp kết nối cộng đồng.</w:t>
      </w:r>
      <w:r>
        <w:br/>
        <w:t>5. Giáo dục hoà nhập và hỗ trợ trẻ khuyết tật:</w:t>
      </w:r>
      <w:r>
        <w:br/>
        <w:t>- Phát hiện sớm, can thiệp hỗ trợ, xây dựng kế hoạch cá nhân hoá; phối hợp gia đình, y tế, các đơn vị chuyên môn.</w:t>
      </w:r>
      <w:r>
        <w:br/>
        <w:t>6. An toàn cho trẻ, phòng chống tai nạn thương tích và bạo lực học đường:</w:t>
      </w:r>
      <w:r>
        <w:br/>
        <w:t>- Quy trình xử lý tình huống, xây dựng môi trường an toàn, truyền thông với phụ huynh.</w:t>
      </w:r>
      <w:r>
        <w:br/>
        <w:t>7. Phát triển nghệ thuật và thể chất toàn diện:</w:t>
      </w:r>
      <w:r>
        <w:br/>
        <w:t>- Hoạt động âm nhạc, mỹ thuật, kể chuyện, vận động và dinh dưỡng.</w:t>
      </w:r>
      <w:r>
        <w:br/>
        <w:t>8. Nâng cao năng lực quản lý chuyên môn cho CBQL:</w:t>
      </w:r>
      <w:r>
        <w:br/>
        <w:t>- Xây dựng kế hoạch bồi dưỡng, kiểm tra, đánh giá chất lượng, hướng dẫn GV viết sáng kiến và hoàn thiện hồ sơ chuẩn quốc gia.</w:t>
      </w:r>
    </w:p>
    <w:p w:rsidR="007F73CE" w:rsidRDefault="00A86931" w:rsidP="00895991">
      <w:pPr>
        <w:spacing w:after="0"/>
      </w:pPr>
      <w:r>
        <w:rPr>
          <w:b/>
        </w:rPr>
        <w:t>IV. Hình thức bồi dưỡng</w:t>
      </w:r>
    </w:p>
    <w:p w:rsidR="007F73CE" w:rsidRDefault="00A86931" w:rsidP="00895991">
      <w:pPr>
        <w:spacing w:after="0"/>
      </w:pPr>
      <w:r>
        <w:t>- Tập huấn tập trung tại trường và cụm trường; mời chuyên gia/giảng viên chuyên môn.</w:t>
      </w:r>
      <w:r>
        <w:br/>
        <w:t>- Sinh hoạt chuyên môn theo tổ/khối, nghiên cứu bài học, dự giờ – rút kinh nghiệm.</w:t>
      </w:r>
      <w:r>
        <w:br/>
        <w:t>- Thực hành tại lớp (thao giảng, video minh họa, xây dựng học liệu thực tế).</w:t>
      </w:r>
      <w:r>
        <w:br/>
        <w:t>- Học trực tuyến, webinar, tự học có hướng dẫn, viết thu hoạch và nộp minh chứng.</w:t>
      </w:r>
      <w:r>
        <w:br/>
        <w:t>- Tham quan, học tập mô hình trường tiên tiến trong tỉnh/ngoài tỉnh.</w:t>
      </w:r>
    </w:p>
    <w:p w:rsidR="007F73CE" w:rsidRDefault="00A86931" w:rsidP="00895991">
      <w:pPr>
        <w:spacing w:after="0"/>
      </w:pPr>
      <w:r>
        <w:rPr>
          <w:b/>
        </w:rPr>
        <w:lastRenderedPageBreak/>
        <w:t>V. Kế hoạch thực hiện theo từng năm học (2025–2030)</w:t>
      </w:r>
    </w:p>
    <w:tbl>
      <w:tblPr>
        <w:tblStyle w:val="LiBang"/>
        <w:tblW w:w="9966" w:type="dxa"/>
        <w:tblLook w:val="04A0" w:firstRow="1" w:lastRow="0" w:firstColumn="1" w:lastColumn="0" w:noHBand="0" w:noVBand="1"/>
      </w:tblPr>
      <w:tblGrid>
        <w:gridCol w:w="1569"/>
        <w:gridCol w:w="2792"/>
        <w:gridCol w:w="1276"/>
        <w:gridCol w:w="1600"/>
        <w:gridCol w:w="1355"/>
        <w:gridCol w:w="1374"/>
      </w:tblGrid>
      <w:tr w:rsidR="00895991" w:rsidTr="00895991">
        <w:tc>
          <w:tcPr>
            <w:tcW w:w="1569" w:type="dxa"/>
          </w:tcPr>
          <w:p w:rsidR="00895991" w:rsidRDefault="00895991" w:rsidP="00895991">
            <w:r>
              <w:t>Năm học</w:t>
            </w:r>
          </w:p>
        </w:tc>
        <w:tc>
          <w:tcPr>
            <w:tcW w:w="2792" w:type="dxa"/>
          </w:tcPr>
          <w:p w:rsidR="00895991" w:rsidRDefault="00895991" w:rsidP="00895991">
            <w:r>
              <w:t>Nội dung bồi dưỡng trọng tâm</w:t>
            </w:r>
          </w:p>
        </w:tc>
        <w:tc>
          <w:tcPr>
            <w:tcW w:w="1276" w:type="dxa"/>
          </w:tcPr>
          <w:p w:rsidR="00895991" w:rsidRDefault="00895991" w:rsidP="00895991">
            <w:r>
              <w:t>Thời gian</w:t>
            </w:r>
          </w:p>
        </w:tc>
        <w:tc>
          <w:tcPr>
            <w:tcW w:w="1600" w:type="dxa"/>
          </w:tcPr>
          <w:p w:rsidR="00895991" w:rsidRDefault="00895991" w:rsidP="00895991">
            <w:r>
              <w:t>Hình thức</w:t>
            </w:r>
          </w:p>
        </w:tc>
        <w:tc>
          <w:tcPr>
            <w:tcW w:w="1355" w:type="dxa"/>
          </w:tcPr>
          <w:p w:rsidR="00895991" w:rsidRDefault="00895991" w:rsidP="00895991">
            <w:r>
              <w:t>Người/đơn vị thực hiện</w:t>
            </w:r>
          </w:p>
        </w:tc>
        <w:tc>
          <w:tcPr>
            <w:tcW w:w="1374" w:type="dxa"/>
          </w:tcPr>
          <w:p w:rsidR="00895991" w:rsidRDefault="00895991" w:rsidP="00895991">
            <w:r>
              <w:t>Điều chỉnh/ bổ sung</w:t>
            </w:r>
          </w:p>
        </w:tc>
      </w:tr>
      <w:tr w:rsidR="00895991" w:rsidTr="00895991">
        <w:tc>
          <w:tcPr>
            <w:tcW w:w="1569" w:type="dxa"/>
          </w:tcPr>
          <w:p w:rsidR="00895991" w:rsidRDefault="00895991" w:rsidP="00895991">
            <w:r>
              <w:t>2025–2026</w:t>
            </w:r>
          </w:p>
        </w:tc>
        <w:tc>
          <w:tcPr>
            <w:tcW w:w="2792" w:type="dxa"/>
          </w:tcPr>
          <w:p w:rsidR="00895991" w:rsidRPr="00E65687" w:rsidRDefault="00895991" w:rsidP="00895991">
            <w:pPr>
              <w:spacing w:before="120" w:after="60" w:line="340" w:lineRule="exact"/>
              <w:rPr>
                <w:color w:val="000000" w:themeColor="text1"/>
                <w:sz w:val="28"/>
                <w:szCs w:val="28"/>
              </w:rPr>
            </w:pPr>
            <w:r>
              <w:t xml:space="preserve">1. </w:t>
            </w:r>
            <w:r w:rsidRPr="00E65687">
              <w:rPr>
                <w:color w:val="000000" w:themeColor="text1"/>
                <w:sz w:val="28"/>
                <w:szCs w:val="28"/>
              </w:rPr>
              <w:t>Chuyển đổi số, ứng dụng CNTT – AI trong công tác quản lý và giảng dạy.</w:t>
            </w:r>
          </w:p>
          <w:p w:rsidR="00895991" w:rsidRDefault="00895991" w:rsidP="00895991">
            <w:r w:rsidRPr="00E65687">
              <w:rPr>
                <w:rFonts w:eastAsia="Times New Roman"/>
                <w:b/>
                <w:bCs/>
                <w:sz w:val="28"/>
                <w:szCs w:val="28"/>
              </w:rPr>
              <w:t xml:space="preserve">- </w:t>
            </w:r>
            <w:r w:rsidRPr="00E65687">
              <w:rPr>
                <w:rFonts w:eastAsia="Times New Roman"/>
                <w:bCs/>
                <w:sz w:val="28"/>
                <w:szCs w:val="28"/>
              </w:rPr>
              <w:t>Sử dụng các phần mềm trong quy định</w:t>
            </w:r>
            <w:r>
              <w:br/>
              <w:t xml:space="preserve">2. </w:t>
            </w:r>
            <w:r w:rsidRPr="00E65687">
              <w:rPr>
                <w:color w:val="000000" w:themeColor="text1"/>
                <w:sz w:val="28"/>
                <w:szCs w:val="28"/>
              </w:rPr>
              <w:t>Đổi mới hoạt động giữa giờ, phát triển thể chất toàn diện cho trẻ</w:t>
            </w:r>
          </w:p>
          <w:p w:rsidR="00895991" w:rsidRPr="00E65687" w:rsidRDefault="00895991" w:rsidP="00895991">
            <w:pPr>
              <w:spacing w:line="360" w:lineRule="exact"/>
              <w:jc w:val="both"/>
              <w:rPr>
                <w:sz w:val="28"/>
                <w:szCs w:val="28"/>
              </w:rPr>
            </w:pPr>
            <w:r>
              <w:t xml:space="preserve">3. </w:t>
            </w:r>
            <w:r w:rsidRPr="00E65687">
              <w:rPr>
                <w:sz w:val="28"/>
                <w:szCs w:val="28"/>
              </w:rPr>
              <w:t>Hướng dẫn ứng dụng phương pháp “Trò chuyện sáng” của Uinit.</w:t>
            </w:r>
          </w:p>
          <w:p w:rsidR="00895991" w:rsidRDefault="00895991" w:rsidP="00895991">
            <w:pPr>
              <w:rPr>
                <w:color w:val="000000" w:themeColor="text1"/>
                <w:sz w:val="28"/>
                <w:szCs w:val="28"/>
              </w:rPr>
            </w:pPr>
            <w:r>
              <w:t xml:space="preserve">4. </w:t>
            </w:r>
            <w:r w:rsidRPr="00E65687">
              <w:rPr>
                <w:color w:val="000000" w:themeColor="text1"/>
                <w:sz w:val="28"/>
                <w:szCs w:val="28"/>
              </w:rPr>
              <w:t>Sử dụng linh hoạt, sáng tạo trò chơi trong hoạt động chăm sóc – giáo dục trẻ</w:t>
            </w:r>
            <w:r>
              <w:br/>
              <w:t xml:space="preserve">5. </w:t>
            </w:r>
            <w:r w:rsidRPr="00E65687">
              <w:rPr>
                <w:color w:val="000000" w:themeColor="text1"/>
                <w:sz w:val="28"/>
                <w:szCs w:val="28"/>
              </w:rPr>
              <w:t>Phòng chống tai nạn thương tích, bạo lực học đường cho trẻ</w:t>
            </w:r>
            <w:r>
              <w:br/>
              <w:t xml:space="preserve">6. </w:t>
            </w:r>
            <w:r w:rsidRPr="00E65687">
              <w:rPr>
                <w:color w:val="000000" w:themeColor="text1"/>
                <w:sz w:val="28"/>
                <w:szCs w:val="28"/>
              </w:rPr>
              <w:t>Phát triển nghệ thuật và sáng tạo cho trẻ mầm non</w:t>
            </w:r>
          </w:p>
          <w:p w:rsidR="00895991" w:rsidRDefault="00895991" w:rsidP="00895991">
            <w:r>
              <w:t xml:space="preserve">7. </w:t>
            </w:r>
            <w:r w:rsidRPr="00E65687">
              <w:rPr>
                <w:color w:val="000000" w:themeColor="text1"/>
                <w:sz w:val="28"/>
                <w:szCs w:val="28"/>
              </w:rPr>
              <w:t>Nâng cao năng lực chăm sóc, nuôi dưỡng, giáo dục thể chất theo hướng tiếp cận toàn diện</w:t>
            </w:r>
          </w:p>
        </w:tc>
        <w:tc>
          <w:tcPr>
            <w:tcW w:w="1276" w:type="dxa"/>
          </w:tcPr>
          <w:p w:rsidR="00895991" w:rsidRDefault="00895991" w:rsidP="00895991">
            <w:r>
              <w:t>9/2025 – 5/2026</w:t>
            </w:r>
          </w:p>
        </w:tc>
        <w:tc>
          <w:tcPr>
            <w:tcW w:w="1600" w:type="dxa"/>
          </w:tcPr>
          <w:p w:rsidR="00895991" w:rsidRDefault="00895991" w:rsidP="00895991">
            <w:r>
              <w:t>Tập huấn, sinh hoạt chuyên môn, thao giảng, tự học</w:t>
            </w:r>
          </w:p>
        </w:tc>
        <w:tc>
          <w:tcPr>
            <w:tcW w:w="1355" w:type="dxa"/>
          </w:tcPr>
          <w:p w:rsidR="00895991" w:rsidRDefault="00895991" w:rsidP="00895991">
            <w:r>
              <w:t>BGH, PHT chuyên môn, GV cốt cán</w:t>
            </w:r>
          </w:p>
        </w:tc>
        <w:tc>
          <w:tcPr>
            <w:tcW w:w="1374" w:type="dxa"/>
          </w:tcPr>
          <w:p w:rsidR="00895991" w:rsidRDefault="00895991" w:rsidP="00895991"/>
        </w:tc>
      </w:tr>
      <w:tr w:rsidR="00895991" w:rsidTr="00895991">
        <w:tc>
          <w:tcPr>
            <w:tcW w:w="1569" w:type="dxa"/>
          </w:tcPr>
          <w:p w:rsidR="00895991" w:rsidRDefault="00895991" w:rsidP="00895991">
            <w:r>
              <w:t>2026–2027</w:t>
            </w:r>
          </w:p>
        </w:tc>
        <w:tc>
          <w:tcPr>
            <w:tcW w:w="2792" w:type="dxa"/>
          </w:tcPr>
          <w:p w:rsidR="00895991" w:rsidRDefault="00895991" w:rsidP="00895991">
            <w:r>
              <w:t>1. Ứng dụng AI &amp; phần mềm hỗ trợ thiết kế bài giảng, đánh giá.</w:t>
            </w:r>
            <w:r>
              <w:br/>
              <w:t>2. Phát triển kỹ năng phối hợp phụ huynh.</w:t>
            </w:r>
            <w:r>
              <w:br/>
              <w:t xml:space="preserve">3. Hòa nhập: phát hiện, hỗ trợ trẻ khuyết tật, cá </w:t>
            </w:r>
            <w:r>
              <w:lastRenderedPageBreak/>
              <w:t>nhân hoá.</w:t>
            </w:r>
            <w:r>
              <w:br/>
              <w:t>4. Giáo dục cảm xúc – kỹ năng xã hội qua trải nghiệm.</w:t>
            </w:r>
            <w:r>
              <w:br/>
              <w:t>5. Khởi động hoạt động khám phá khoa học.</w:t>
            </w:r>
          </w:p>
          <w:p w:rsidR="00895991" w:rsidRDefault="00895991" w:rsidP="00895991">
            <w:r>
              <w:t xml:space="preserve">6. </w:t>
            </w:r>
            <w:r w:rsidRPr="00DD1AAF">
              <w:rPr>
                <w:sz w:val="28"/>
                <w:szCs w:val="28"/>
                <w:highlight w:val="yellow"/>
              </w:rPr>
              <w:t>Ứ</w:t>
            </w:r>
            <w:r w:rsidRPr="00DD1AAF">
              <w:rPr>
                <w:sz w:val="28"/>
                <w:szCs w:val="28"/>
                <w:highlight w:val="yellow"/>
                <w:lang w:val="vi-VN"/>
              </w:rPr>
              <w:t>ng dụng các phương pháp giáo dục tiên tiến trong thực hiện chương trình GDMN</w:t>
            </w:r>
            <w:r w:rsidRPr="00DD1AAF">
              <w:rPr>
                <w:sz w:val="28"/>
                <w:szCs w:val="28"/>
                <w:highlight w:val="yellow"/>
              </w:rPr>
              <w:t>,</w:t>
            </w:r>
            <w:r w:rsidRPr="00DD1AAF">
              <w:rPr>
                <w:sz w:val="28"/>
                <w:szCs w:val="28"/>
                <w:highlight w:val="yellow"/>
                <w:lang w:val="vi-VN"/>
              </w:rPr>
              <w:t xml:space="preserve"> </w:t>
            </w:r>
            <w:r w:rsidRPr="00DD1AAF">
              <w:rPr>
                <w:sz w:val="28"/>
                <w:szCs w:val="28"/>
                <w:highlight w:val="yellow"/>
              </w:rPr>
              <w:t>phương pháp giáo dục Montessori</w:t>
            </w:r>
            <w:r>
              <w:t xml:space="preserve"> </w:t>
            </w:r>
          </w:p>
        </w:tc>
        <w:tc>
          <w:tcPr>
            <w:tcW w:w="1276" w:type="dxa"/>
          </w:tcPr>
          <w:p w:rsidR="00895991" w:rsidRDefault="00895991" w:rsidP="00895991">
            <w:r>
              <w:lastRenderedPageBreak/>
              <w:t>9/2026 – 5/2027</w:t>
            </w:r>
          </w:p>
        </w:tc>
        <w:tc>
          <w:tcPr>
            <w:tcW w:w="1600" w:type="dxa"/>
          </w:tcPr>
          <w:p w:rsidR="00895991" w:rsidRDefault="00895991" w:rsidP="00895991">
            <w:r>
              <w:t>Tập huấn trực tuyến, chuyên đề, thực hành tại lớp</w:t>
            </w:r>
          </w:p>
        </w:tc>
        <w:tc>
          <w:tcPr>
            <w:tcW w:w="1355" w:type="dxa"/>
          </w:tcPr>
          <w:p w:rsidR="00895991" w:rsidRDefault="00895991" w:rsidP="00895991">
            <w:r>
              <w:t>BGH, tổ chuyên môn, nhân viên y tế</w:t>
            </w:r>
          </w:p>
        </w:tc>
        <w:tc>
          <w:tcPr>
            <w:tcW w:w="1374" w:type="dxa"/>
          </w:tcPr>
          <w:p w:rsidR="00895991" w:rsidRDefault="00895991" w:rsidP="00895991"/>
        </w:tc>
      </w:tr>
      <w:tr w:rsidR="00895991" w:rsidTr="00895991">
        <w:tc>
          <w:tcPr>
            <w:tcW w:w="1569" w:type="dxa"/>
          </w:tcPr>
          <w:p w:rsidR="00895991" w:rsidRDefault="00895991" w:rsidP="00895991">
            <w:r>
              <w:t>2027–2028</w:t>
            </w:r>
          </w:p>
        </w:tc>
        <w:tc>
          <w:tcPr>
            <w:tcW w:w="2792" w:type="dxa"/>
          </w:tcPr>
          <w:p w:rsidR="00895991" w:rsidRDefault="00895991" w:rsidP="00895991">
            <w:r>
              <w:t>1.Nâng cao vận dụng Montessori; tổ chức hoạt động lấy trẻ làm trung tâm</w:t>
            </w:r>
            <w:r>
              <w:br/>
              <w:t>2. Nâng cao chất lượng trải nghiệm trong và ngoài lớp, liên kết cộng đồng.</w:t>
            </w:r>
            <w:r>
              <w:br/>
              <w:t>3. Ứng dụng công nghệ số trong kiểm tra – đánh giá và thiết kế học liệu số.</w:t>
            </w:r>
            <w:r>
              <w:br/>
              <w:t>4. Đổi mới hình thức tổ chức đáp ứng hoà nhập và phương pháp tiên tiến.</w:t>
            </w:r>
            <w:r>
              <w:br/>
              <w:t>5. Giáo dục phát triển thể chất – dinh dưỡng toàn diện.</w:t>
            </w:r>
          </w:p>
        </w:tc>
        <w:tc>
          <w:tcPr>
            <w:tcW w:w="1276" w:type="dxa"/>
          </w:tcPr>
          <w:p w:rsidR="00895991" w:rsidRDefault="00895991" w:rsidP="00895991">
            <w:r>
              <w:t>9/2027 – 5/2028</w:t>
            </w:r>
          </w:p>
        </w:tc>
        <w:tc>
          <w:tcPr>
            <w:tcW w:w="1600" w:type="dxa"/>
          </w:tcPr>
          <w:p w:rsidR="00895991" w:rsidRDefault="00895991" w:rsidP="00895991">
            <w:r>
              <w:t>Thao giảng, dự giờ minh họa, tập huấn chuyên sâu</w:t>
            </w:r>
          </w:p>
        </w:tc>
        <w:tc>
          <w:tcPr>
            <w:tcW w:w="1355" w:type="dxa"/>
          </w:tcPr>
          <w:p w:rsidR="00895991" w:rsidRDefault="00895991" w:rsidP="00895991">
            <w:r>
              <w:t>PHT chuyên môn, GV nòng cốt, NV y tế</w:t>
            </w:r>
          </w:p>
        </w:tc>
        <w:tc>
          <w:tcPr>
            <w:tcW w:w="1374" w:type="dxa"/>
          </w:tcPr>
          <w:p w:rsidR="00895991" w:rsidRDefault="00895991" w:rsidP="00895991"/>
        </w:tc>
      </w:tr>
      <w:tr w:rsidR="00895991" w:rsidTr="00895991">
        <w:tc>
          <w:tcPr>
            <w:tcW w:w="1569" w:type="dxa"/>
          </w:tcPr>
          <w:p w:rsidR="00895991" w:rsidRDefault="00895991" w:rsidP="00895991">
            <w:r>
              <w:t>2028–2029</w:t>
            </w:r>
          </w:p>
        </w:tc>
        <w:tc>
          <w:tcPr>
            <w:tcW w:w="2792" w:type="dxa"/>
          </w:tcPr>
          <w:p w:rsidR="00895991" w:rsidRDefault="00895991" w:rsidP="00895991">
            <w:r>
              <w:t>1. Thực hành phương pháp Trò chuyện sáng (Units) trong khởi động chủ đề.</w:t>
            </w:r>
            <w:r>
              <w:br/>
              <w:t>2. Phát triển chương trình GDMN lấy trẻ làm trung tâm, tích hợp STEAM.</w:t>
            </w:r>
            <w:r>
              <w:br/>
              <w:t>3. Xây dựng môi trường thân thiện, sáng tạo, an toàn.</w:t>
            </w:r>
            <w:r>
              <w:br/>
            </w:r>
            <w:r>
              <w:lastRenderedPageBreak/>
              <w:t>4. Chuẩn bị hồ sơ, tự đánh giá và hoàn thiện tiêu chí Trường chuẩn quốc gia mức 2.</w:t>
            </w:r>
            <w:r>
              <w:br/>
              <w:t>5. Chia sẻ sáng kiến, nhân rộng mô hình tốt.</w:t>
            </w:r>
          </w:p>
          <w:p w:rsidR="00895991" w:rsidRDefault="00895991" w:rsidP="00895991">
            <w:r>
              <w:t>6. Nâng cao vận dụng Montessori; tổ chức hoạt động lấy trẻ làm trung tâm.</w:t>
            </w:r>
          </w:p>
        </w:tc>
        <w:tc>
          <w:tcPr>
            <w:tcW w:w="1276" w:type="dxa"/>
          </w:tcPr>
          <w:p w:rsidR="00895991" w:rsidRDefault="00895991" w:rsidP="00895991">
            <w:r>
              <w:lastRenderedPageBreak/>
              <w:t>9/2028 – 5/2029</w:t>
            </w:r>
          </w:p>
        </w:tc>
        <w:tc>
          <w:tcPr>
            <w:tcW w:w="1600" w:type="dxa"/>
          </w:tcPr>
          <w:p w:rsidR="00895991" w:rsidRDefault="00895991" w:rsidP="00895991">
            <w:r>
              <w:t>Hội thảo, tập huấn cụm, minh chứng hồ sơ</w:t>
            </w:r>
          </w:p>
        </w:tc>
        <w:tc>
          <w:tcPr>
            <w:tcW w:w="1355" w:type="dxa"/>
          </w:tcPr>
          <w:p w:rsidR="00895991" w:rsidRDefault="00895991" w:rsidP="00895991">
            <w:r>
              <w:t>BGH, tổ chuyên môn, GV chủ nhiệm</w:t>
            </w:r>
          </w:p>
        </w:tc>
        <w:tc>
          <w:tcPr>
            <w:tcW w:w="1374" w:type="dxa"/>
          </w:tcPr>
          <w:p w:rsidR="00895991" w:rsidRDefault="00895991" w:rsidP="00895991"/>
        </w:tc>
      </w:tr>
      <w:tr w:rsidR="00895991" w:rsidTr="00895991">
        <w:tc>
          <w:tcPr>
            <w:tcW w:w="1569" w:type="dxa"/>
          </w:tcPr>
          <w:p w:rsidR="00895991" w:rsidRDefault="00895991" w:rsidP="00895991">
            <w:r>
              <w:t>2029–2030</w:t>
            </w:r>
          </w:p>
        </w:tc>
        <w:tc>
          <w:tcPr>
            <w:tcW w:w="2792" w:type="dxa"/>
          </w:tcPr>
          <w:p w:rsidR="00895991" w:rsidRDefault="00895991" w:rsidP="00895991">
            <w:r>
              <w:t>1. Tổng kết, đánh giá giai đoạn 2025–2030; báo cáo kết quả.</w:t>
            </w:r>
            <w:r>
              <w:br/>
              <w:t>2. Xây dựng mô hình Trường mầm non chuyển đổi số – thông minh.</w:t>
            </w:r>
            <w:r>
              <w:br/>
              <w:t>3. Hoàn thiện ngân hàng học liệu số, chuyên đề điển hình.</w:t>
            </w:r>
            <w:r>
              <w:br/>
              <w:t>4. Bồi dưỡng GV nòng cốt, hỗ trợ cụm trường.</w:t>
            </w:r>
          </w:p>
        </w:tc>
        <w:tc>
          <w:tcPr>
            <w:tcW w:w="1276" w:type="dxa"/>
          </w:tcPr>
          <w:p w:rsidR="00895991" w:rsidRDefault="00895991" w:rsidP="00895991">
            <w:r>
              <w:t>9/2029 – 5/2030</w:t>
            </w:r>
          </w:p>
        </w:tc>
        <w:tc>
          <w:tcPr>
            <w:tcW w:w="1600" w:type="dxa"/>
          </w:tcPr>
          <w:p w:rsidR="00895991" w:rsidRDefault="00895991" w:rsidP="00895991">
            <w:r>
              <w:t>Hội nghị chuyên môn, báo cáo tổng kết, triển lãm sản phẩm</w:t>
            </w:r>
          </w:p>
        </w:tc>
        <w:tc>
          <w:tcPr>
            <w:tcW w:w="1355" w:type="dxa"/>
          </w:tcPr>
          <w:p w:rsidR="00895991" w:rsidRDefault="00895991" w:rsidP="00895991">
            <w:r>
              <w:t>BGH, GV cốt cán</w:t>
            </w:r>
          </w:p>
        </w:tc>
        <w:tc>
          <w:tcPr>
            <w:tcW w:w="1374" w:type="dxa"/>
          </w:tcPr>
          <w:p w:rsidR="00895991" w:rsidRDefault="00895991" w:rsidP="00895991"/>
        </w:tc>
      </w:tr>
    </w:tbl>
    <w:p w:rsidR="007F73CE" w:rsidRDefault="00A86931" w:rsidP="00895991">
      <w:pPr>
        <w:spacing w:after="0"/>
      </w:pPr>
      <w:r>
        <w:br/>
      </w:r>
      <w:r>
        <w:rPr>
          <w:b/>
        </w:rPr>
        <w:t>VI. Tổ chức thực hiện và phân công</w:t>
      </w:r>
    </w:p>
    <w:p w:rsidR="007F73CE" w:rsidRDefault="00A86931" w:rsidP="00895991">
      <w:pPr>
        <w:spacing w:after="0"/>
      </w:pPr>
      <w:r>
        <w:t>- Hiệu trưởng: Chịu trách nhiệm chỉ đạo, phê duyệt kế hoạch, phân bổ nguồn lực, kiểm tra, tổng hợp báo cáo.</w:t>
      </w:r>
      <w:r>
        <w:br/>
        <w:t>- Phó Hiệu trưởng (Phụ trách chuyên môn): Xây dựng chương trình bồi dưỡng chi tiết, điều phối chuyên đề, theo dõi thực hiện.</w:t>
      </w:r>
      <w:r>
        <w:br/>
        <w:t>- Tổ chuyên môn: Chuẩn bị nội dung chuyên đề, dự giờ, rút kinh nghiệm, hướng dẫn đồng nghiệp.</w:t>
      </w:r>
      <w:r>
        <w:br/>
        <w:t>- Giáo viên cốt cán/GV nòng cốt: Hướng dẫn, thao giảng, hỗ trợ đồng nghiệp trong triển khai phương pháp mới.</w:t>
      </w:r>
      <w:r>
        <w:br/>
        <w:t>- Nhân viên y tế, nuôi dưỡng: Tham gia bồi dưỡng về dinh dưỡng, an toàn và hỗ trợ chương trình hoà nhập.</w:t>
      </w:r>
      <w:r>
        <w:br/>
        <w:t>- Phối hợp với phụ huynh, y tế địa phương, công an xã (khi cần) để tổ chức các hoạt động an toàn, phòng chống tai nạn.</w:t>
      </w:r>
      <w:r>
        <w:br/>
      </w:r>
      <w:r>
        <w:rPr>
          <w:b/>
        </w:rPr>
        <w:t>VII. Kiểm tra – Đánh giá</w:t>
      </w:r>
    </w:p>
    <w:p w:rsidR="007F73CE" w:rsidRDefault="00A86931" w:rsidP="00895991">
      <w:pPr>
        <w:spacing w:after="0"/>
      </w:pPr>
      <w:r>
        <w:t>- Hình thức: Kiểm tra hồ sơ, thu thập minh chứng (ảnh, video, sản phẩm học liệu), đánh giá theo tiêu chí nghề nghiệp và tiêu chí nhà trường.</w:t>
      </w:r>
      <w:r>
        <w:br/>
        <w:t xml:space="preserve">- Tiêu chí đánh giá: Tỷ lệ GV tham gia, số lượng sản phẩm học liệu số, tỉ lệ GV áp dụng </w:t>
      </w:r>
      <w:r>
        <w:lastRenderedPageBreak/>
        <w:t>phương pháp mới, chất lượng hoạt động tại lớp, kết quả tự đánh giá chuẩn quốc gia.</w:t>
      </w:r>
      <w:r>
        <w:br/>
        <w:t>- Báo cáo: Hàng năm nộp báo cáo tổng kết bồi dưỡng; giữa kỳ (2027–2028) và cuối kỳ (2029–2030) tổ chức đánh giá giai đoạn.</w:t>
      </w:r>
      <w:r>
        <w:br/>
        <w:t>- Khen thưởng: Cá nhân/tập thể có sáng kiến, áp dụng hiệu quả được khen thưởng vào cuối năm học.</w:t>
      </w:r>
      <w:r>
        <w:br/>
      </w:r>
      <w:r>
        <w:rPr>
          <w:b/>
        </w:rPr>
        <w:t>VIII. Kinh phí thực hiện</w:t>
      </w:r>
    </w:p>
    <w:p w:rsidR="007F73CE" w:rsidRDefault="00A86931" w:rsidP="00895991">
      <w:pPr>
        <w:spacing w:after="0"/>
      </w:pPr>
      <w:r>
        <w:t>- Nguồn kinh phí: Ngân sách nhà nước chi thường xuyên; nguồn huy động hợp pháp (phụ huynh, tài trợ, dự án hợp tác).</w:t>
      </w:r>
      <w:r>
        <w:br/>
        <w:t>- Dự kiến kinh phí cho các chuyên đề trọng tâm: thuê chuyên gia, in ấn tài liệu, trang thiết bị dạy học, học liệu số, tổ chức tham quan học tập (cụ thể dự toán do BGH lập theo từng năm).</w:t>
      </w:r>
      <w:r>
        <w:br/>
      </w:r>
      <w:r>
        <w:rPr>
          <w:b/>
        </w:rPr>
        <w:t>IX. Văn bản liên quan và phụ lục</w:t>
      </w:r>
    </w:p>
    <w:p w:rsidR="007F73CE" w:rsidRDefault="00A86931" w:rsidP="00895991">
      <w:pPr>
        <w:spacing w:after="0"/>
      </w:pPr>
      <w:r>
        <w:t>- Các văn bản hướng dẫn hiện hành của Bộ GD&amp;ĐT và Phòng GD&amp;ĐT liên quan đến chương trình GDMN, bồi dưỡng thường xuyên, chuẩn nghề nghiệp và chuyển đổi số.</w:t>
      </w:r>
      <w:r>
        <w:br/>
        <w:t>- Phụ lục kèm theo: Mẫu kế hoạch chuyên đề; Mẫu thu hoạch cá nhân;</w:t>
      </w:r>
      <w:r w:rsidR="00F05640">
        <w:t>B</w:t>
      </w:r>
      <w:r>
        <w:t xml:space="preserve">iên bản sinh hoạt chuyên môn;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4"/>
      </w:tblGrid>
      <w:tr w:rsidR="00F05640" w:rsidRPr="002C5037" w:rsidTr="00D212EE">
        <w:tc>
          <w:tcPr>
            <w:tcW w:w="4842" w:type="dxa"/>
          </w:tcPr>
          <w:p w:rsidR="00F05640" w:rsidRPr="002C5037" w:rsidRDefault="00F05640" w:rsidP="00D212EE">
            <w:pPr>
              <w:autoSpaceDE w:val="0"/>
              <w:autoSpaceDN w:val="0"/>
              <w:adjustRightInd w:val="0"/>
              <w:spacing w:before="120"/>
              <w:jc w:val="both"/>
              <w:rPr>
                <w:b/>
                <w:i/>
                <w:sz w:val="28"/>
                <w:szCs w:val="28"/>
                <w:lang w:val="sv-SE"/>
              </w:rPr>
            </w:pPr>
            <w:r w:rsidRPr="002C5037">
              <w:rPr>
                <w:b/>
                <w:i/>
                <w:sz w:val="28"/>
                <w:szCs w:val="28"/>
                <w:lang w:val="sv-SE"/>
              </w:rPr>
              <w:t>Nơi nhận:</w:t>
            </w:r>
          </w:p>
          <w:p w:rsidR="00F05640" w:rsidRPr="002C5037" w:rsidRDefault="00F05640" w:rsidP="00D212EE">
            <w:pPr>
              <w:autoSpaceDE w:val="0"/>
              <w:autoSpaceDN w:val="0"/>
              <w:adjustRightInd w:val="0"/>
              <w:jc w:val="both"/>
              <w:rPr>
                <w:sz w:val="28"/>
                <w:szCs w:val="28"/>
                <w:lang w:val="sv-SE"/>
              </w:rPr>
            </w:pPr>
            <w:r w:rsidRPr="002C5037">
              <w:rPr>
                <w:sz w:val="28"/>
                <w:szCs w:val="28"/>
                <w:lang w:val="sv-SE"/>
              </w:rPr>
              <w:t>-</w:t>
            </w:r>
            <w:r>
              <w:rPr>
                <w:sz w:val="28"/>
                <w:szCs w:val="28"/>
                <w:lang w:val="sv-SE"/>
              </w:rPr>
              <w:t xml:space="preserve"> UBND xã Hải Châu</w:t>
            </w:r>
            <w:r w:rsidRPr="002C5037">
              <w:rPr>
                <w:sz w:val="28"/>
                <w:szCs w:val="28"/>
                <w:lang w:val="sv-SE"/>
              </w:rPr>
              <w:t>;</w:t>
            </w:r>
          </w:p>
          <w:p w:rsidR="00F05640" w:rsidRPr="002C5037" w:rsidRDefault="00F05640" w:rsidP="00D212EE">
            <w:pPr>
              <w:autoSpaceDE w:val="0"/>
              <w:autoSpaceDN w:val="0"/>
              <w:adjustRightInd w:val="0"/>
              <w:jc w:val="both"/>
              <w:rPr>
                <w:sz w:val="28"/>
                <w:szCs w:val="28"/>
                <w:lang w:val="sv-SE"/>
              </w:rPr>
            </w:pPr>
            <w:r w:rsidRPr="002C5037">
              <w:rPr>
                <w:sz w:val="28"/>
                <w:szCs w:val="28"/>
                <w:lang w:val="sv-SE"/>
              </w:rPr>
              <w:t>- Tổ chuyên môn;</w:t>
            </w:r>
          </w:p>
          <w:p w:rsidR="00F05640" w:rsidRPr="002C5037" w:rsidRDefault="00F05640" w:rsidP="00D212EE">
            <w:pPr>
              <w:autoSpaceDE w:val="0"/>
              <w:autoSpaceDN w:val="0"/>
              <w:adjustRightInd w:val="0"/>
              <w:jc w:val="both"/>
              <w:rPr>
                <w:sz w:val="28"/>
                <w:szCs w:val="28"/>
                <w:lang w:val="sv-SE"/>
              </w:rPr>
            </w:pPr>
            <w:r w:rsidRPr="002C5037">
              <w:rPr>
                <w:sz w:val="28"/>
                <w:szCs w:val="28"/>
                <w:lang w:val="sv-SE"/>
              </w:rPr>
              <w:t>- CBGVNV trường.</w:t>
            </w:r>
          </w:p>
        </w:tc>
        <w:tc>
          <w:tcPr>
            <w:tcW w:w="4842" w:type="dxa"/>
          </w:tcPr>
          <w:p w:rsidR="00F05640" w:rsidRPr="002C5037" w:rsidRDefault="00F05640" w:rsidP="00D212EE">
            <w:pPr>
              <w:autoSpaceDE w:val="0"/>
              <w:autoSpaceDN w:val="0"/>
              <w:adjustRightInd w:val="0"/>
              <w:spacing w:before="120"/>
              <w:jc w:val="center"/>
              <w:rPr>
                <w:b/>
                <w:sz w:val="28"/>
                <w:szCs w:val="28"/>
                <w:lang w:val="sv-SE"/>
              </w:rPr>
            </w:pPr>
            <w:r w:rsidRPr="002C5037">
              <w:rPr>
                <w:b/>
                <w:sz w:val="28"/>
                <w:szCs w:val="28"/>
                <w:lang w:val="sv-SE"/>
              </w:rPr>
              <w:t>HIỆU TRƯỞNG</w:t>
            </w:r>
          </w:p>
          <w:p w:rsidR="00F05640" w:rsidRDefault="00F05640" w:rsidP="00D212EE">
            <w:pPr>
              <w:autoSpaceDE w:val="0"/>
              <w:autoSpaceDN w:val="0"/>
              <w:adjustRightInd w:val="0"/>
              <w:spacing w:before="120"/>
              <w:jc w:val="center"/>
              <w:rPr>
                <w:b/>
                <w:sz w:val="28"/>
                <w:szCs w:val="28"/>
                <w:lang w:val="sv-SE"/>
              </w:rPr>
            </w:pPr>
          </w:p>
          <w:p w:rsidR="00F05640" w:rsidRPr="002C5037" w:rsidRDefault="00F05640" w:rsidP="00D212EE">
            <w:pPr>
              <w:autoSpaceDE w:val="0"/>
              <w:autoSpaceDN w:val="0"/>
              <w:adjustRightInd w:val="0"/>
              <w:spacing w:before="120"/>
              <w:jc w:val="center"/>
              <w:rPr>
                <w:sz w:val="28"/>
                <w:szCs w:val="28"/>
              </w:rPr>
            </w:pPr>
            <w:r w:rsidRPr="002C5037">
              <w:rPr>
                <w:b/>
                <w:sz w:val="28"/>
                <w:szCs w:val="28"/>
              </w:rPr>
              <w:t>Vũ Thị Luyên</w:t>
            </w:r>
          </w:p>
        </w:tc>
      </w:tr>
    </w:tbl>
    <w:p w:rsidR="00F05640" w:rsidRDefault="00F05640" w:rsidP="00895991">
      <w:pPr>
        <w:spacing w:after="0"/>
      </w:pPr>
    </w:p>
    <w:p w:rsidR="00F05640" w:rsidRDefault="00A86931" w:rsidP="00F05640">
      <w:pPr>
        <w:spacing w:after="0"/>
        <w:jc w:val="right"/>
      </w:pPr>
      <w:r>
        <w:br/>
      </w:r>
      <w:r>
        <w:br/>
      </w:r>
    </w:p>
    <w:sectPr w:rsidR="00F05640"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F0CF2"/>
    <w:rsid w:val="007F73CE"/>
    <w:rsid w:val="00895991"/>
    <w:rsid w:val="00910EDF"/>
    <w:rsid w:val="00A86931"/>
    <w:rsid w:val="00AA1D8D"/>
    <w:rsid w:val="00B47730"/>
    <w:rsid w:val="00C31467"/>
    <w:rsid w:val="00CB0664"/>
    <w:rsid w:val="00E83804"/>
    <w:rsid w:val="00F056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9B273"/>
  <w14:defaultImageDpi w14:val="300"/>
  <w15:docId w15:val="{3FADA432-0660-4205-8671-F7F29E3A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FC693F"/>
    <w:rPr>
      <w:rFonts w:ascii="Times New Roman" w:hAnsi="Times New Roman"/>
      <w:sz w:val="26"/>
    </w:rPr>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3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F4D2-CC35-4544-A681-1E172E36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1306</Words>
  <Characters>7448</Characters>
  <Application>Microsoft Office Word</Application>
  <DocSecurity>0</DocSecurity>
  <Lines>62</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5</cp:revision>
  <dcterms:created xsi:type="dcterms:W3CDTF">2025-10-08T03:21:00Z</dcterms:created>
  <dcterms:modified xsi:type="dcterms:W3CDTF">2025-10-09T02:01:00Z</dcterms:modified>
  <cp:category/>
</cp:coreProperties>
</file>